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69" w:rsidRDefault="00A13219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69" w:rsidRDefault="00A13219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Что работает и не работает в школе?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461A69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461A69" w:rsidRDefault="00A13219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Куксо Екатерина Николаевна</w:t>
            </w:r>
          </w:p>
          <w:p w:rsidR="00461A69" w:rsidRDefault="00A13219">
            <w:r>
              <w:rPr>
                <w:rFonts w:ascii="Georgia" w:hAnsi="Georgia" w:cs="Georgia"/>
                <w:i/>
                <w:iCs/>
              </w:rPr>
              <w:t xml:space="preserve"> аспирантка НИУ ВШЭ</w:t>
            </w:r>
          </w:p>
        </w:tc>
      </w:tr>
    </w:tbl>
    <w:p w:rsidR="00461A69" w:rsidRDefault="00461A69"/>
    <w:p w:rsidR="00461A69" w:rsidRDefault="00A13219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Школа довольно часто находится в плену мифов, стереотипов и популярных заблуждений. Например, какое-то время назад казалось, что технологии (например, интерактивные доски или ноутбуки для каждого школьника) резко изменят то, как дети учатся. Но исследовани</w:t>
      </w:r>
      <w:r>
        <w:rPr>
          <w:rFonts w:ascii="Georgia" w:hAnsi="Georgia" w:cs="Georgia"/>
          <w:b/>
          <w:sz w:val="24"/>
          <w:szCs w:val="24"/>
        </w:rPr>
        <w:t xml:space="preserve">я показали, что «техническая начинка» сама по себе мало что меняет. Интерактивные доски «работали» лишь тогда, когда учителей основательно и профессионально учили ими пользоваться. 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Большинство людей считает, что они достаточно разумны и осведомлены, чтобы</w:t>
      </w:r>
      <w:r>
        <w:rPr>
          <w:rFonts w:ascii="Georgia" w:hAnsi="Georgia" w:cs="Georgia"/>
          <w:sz w:val="24"/>
          <w:szCs w:val="24"/>
        </w:rPr>
        <w:t xml:space="preserve"> не поддаться влиянию мифов. Думаете, что вы устойчивы к стереотипам? Попробуйте протестировать свои знание и интуицию.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Как вы думаете, какие факторы связаны с ростом успехов школьников, а при внедрении каких достижения учеников не меняются никак (или раст</w:t>
      </w:r>
      <w:r>
        <w:rPr>
          <w:rFonts w:ascii="Georgia" w:hAnsi="Georgia" w:cs="Georgia"/>
          <w:sz w:val="24"/>
          <w:szCs w:val="24"/>
        </w:rPr>
        <w:t>ут лишь крайне незначительно):</w:t>
      </w:r>
    </w:p>
    <w:p w:rsidR="00461A69" w:rsidRDefault="00A13219" w:rsidP="00A13219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сокращение количества учеников в классе;</w:t>
      </w:r>
    </w:p>
    <w:p w:rsidR="00461A69" w:rsidRDefault="00A13219" w:rsidP="00A13219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самостоятельный контроль учеником процесса своего обучения;</w:t>
      </w:r>
    </w:p>
    <w:p w:rsidR="00461A69" w:rsidRDefault="00A13219" w:rsidP="00A13219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развернутая обратная реакция учителя на ответы ученика;</w:t>
      </w:r>
    </w:p>
    <w:p w:rsidR="00461A69" w:rsidRDefault="00A13219" w:rsidP="00A13219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раздельное обучение мальчиков и девочек;</w:t>
      </w:r>
    </w:p>
    <w:p w:rsidR="00461A69" w:rsidRDefault="00A13219" w:rsidP="00A13219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глубокое зна</w:t>
      </w:r>
      <w:r>
        <w:rPr>
          <w:rFonts w:ascii="Georgia" w:hAnsi="Georgia" w:cs="Georgia"/>
          <w:sz w:val="24"/>
          <w:szCs w:val="24"/>
        </w:rPr>
        <w:t>ние предмета учителем;</w:t>
      </w:r>
    </w:p>
    <w:p w:rsidR="00461A69" w:rsidRDefault="00A13219" w:rsidP="00A13219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формирование групп учеников по способностям;</w:t>
      </w:r>
    </w:p>
    <w:p w:rsidR="00461A69" w:rsidRDefault="00A13219" w:rsidP="00A13219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нестандартное пространство для обучения (например, на природе) по сравнению с обучением в традиционном классе (кабинете).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Для чистоты эксперимента не заглядывайте на следующую страни</w:t>
      </w:r>
      <w:r>
        <w:rPr>
          <w:rFonts w:ascii="Georgia" w:hAnsi="Georgia" w:cs="Georgia"/>
          <w:sz w:val="24"/>
          <w:szCs w:val="24"/>
        </w:rPr>
        <w:t>цу и запишите ответы в два столбика (например, факторы, связанные с увеличением эффективности обучения и не связанные). Ответ ждет вас чуть далее.</w:t>
      </w:r>
    </w:p>
    <w:p w:rsidR="00A13219" w:rsidRDefault="00A13219">
      <w:pPr>
        <w:spacing w:after="150"/>
        <w:rPr>
          <w:rFonts w:ascii="Georgia" w:hAnsi="Georgia" w:cs="Georgia"/>
          <w:b/>
          <w:sz w:val="28"/>
          <w:szCs w:val="28"/>
          <w:lang w:val="en-US"/>
        </w:rPr>
      </w:pPr>
    </w:p>
    <w:p w:rsidR="00A13219" w:rsidRDefault="00A13219">
      <w:pPr>
        <w:spacing w:after="150"/>
        <w:rPr>
          <w:rFonts w:ascii="Georgia" w:hAnsi="Georgia" w:cs="Georgia"/>
          <w:b/>
          <w:sz w:val="28"/>
          <w:szCs w:val="28"/>
          <w:lang w:val="en-US"/>
        </w:rPr>
      </w:pPr>
    </w:p>
    <w:p w:rsidR="00461A69" w:rsidRDefault="00A13219">
      <w:pPr>
        <w:spacing w:after="150"/>
      </w:pPr>
      <w:r>
        <w:rPr>
          <w:rFonts w:ascii="Georgia" w:hAnsi="Georgia" w:cs="Georgia"/>
          <w:b/>
          <w:sz w:val="28"/>
          <w:szCs w:val="28"/>
        </w:rPr>
        <w:lastRenderedPageBreak/>
        <w:t>Почему мифы опасны?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Первая опасность мифов скорее экономическая.</w:t>
      </w:r>
      <w:r>
        <w:rPr>
          <w:rFonts w:ascii="Georgia" w:hAnsi="Georgia" w:cs="Georgia"/>
          <w:sz w:val="24"/>
          <w:szCs w:val="24"/>
        </w:rPr>
        <w:t xml:space="preserve"> Например, покупка определенного оборудования или внедрение нового подхода к обучению может стоить школе (или муниципалитету, региону, образовательной системе в целом) довольно больших денег. Однако если эффект от внедрения минимальный, то эти деньги было </w:t>
      </w:r>
      <w:r>
        <w:rPr>
          <w:rFonts w:ascii="Georgia" w:hAnsi="Georgia" w:cs="Georgia"/>
          <w:sz w:val="24"/>
          <w:szCs w:val="24"/>
        </w:rPr>
        <w:t>бы разумнее вложить во что-то другое (возможно, даже более дешевое).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Быть может, вы обращали внимание, что крупные корпорации (скажем, LEGO, Intel, Google и пр.), которые продвигают свои продукты на образовательный рынок, очень много внимания уделяют парал</w:t>
      </w:r>
      <w:r>
        <w:rPr>
          <w:rFonts w:ascii="Georgia" w:hAnsi="Georgia" w:cs="Georgia"/>
          <w:sz w:val="24"/>
          <w:szCs w:val="24"/>
        </w:rPr>
        <w:t>лельному обучению учителей. Таким образом, они вкладываются в профессиональный и социальный капитал педагогов. В итоге трудно понять: ученики лучше учатся потому, что в школе появились дорогие конструкторы, или потому, что школьных учителей хорошо учили вн</w:t>
      </w:r>
      <w:r>
        <w:rPr>
          <w:rFonts w:ascii="Georgia" w:hAnsi="Georgia" w:cs="Georgia"/>
          <w:sz w:val="24"/>
          <w:szCs w:val="24"/>
        </w:rPr>
        <w:t>ешние эксперты?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Вторая опасность скорее ценностная.</w:t>
      </w:r>
      <w:r>
        <w:rPr>
          <w:rFonts w:ascii="Georgia" w:hAnsi="Georgia" w:cs="Georgia"/>
          <w:sz w:val="24"/>
          <w:szCs w:val="24"/>
        </w:rPr>
        <w:t xml:space="preserve"> Если, находясь в плену мифов, школа экспериментирует на каком-то поколении учеников, то это представляется не очень честным. Внедрение в массовой школе непроверенных внешних методик — это несколько безотв</w:t>
      </w:r>
      <w:r>
        <w:rPr>
          <w:rFonts w:ascii="Georgia" w:hAnsi="Georgia" w:cs="Georgia"/>
          <w:sz w:val="24"/>
          <w:szCs w:val="24"/>
        </w:rPr>
        <w:t>етственно.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 мой взгляд, это частый порок в России. Из-за довольно сильного внешнего давления законодатели в области образования вводят новые методики и продвигают идеи, которые ранее едва ли тестировались на массовой школе. Скажу крамольное: очень многие</w:t>
      </w:r>
      <w:r>
        <w:rPr>
          <w:rFonts w:ascii="Georgia" w:hAnsi="Georgia" w:cs="Georgia"/>
          <w:sz w:val="24"/>
          <w:szCs w:val="24"/>
        </w:rPr>
        <w:t xml:space="preserve"> положения новых ФГОС — это скорее подходы, в которые многие верят, а некоторые уже доказали свою эффективность.</w:t>
      </w:r>
    </w:p>
    <w:p w:rsidR="00461A69" w:rsidRDefault="00A13219">
      <w:pPr>
        <w:spacing w:after="150"/>
      </w:pPr>
      <w:r>
        <w:rPr>
          <w:rFonts w:ascii="Georgia" w:hAnsi="Georgia" w:cs="Georgia"/>
          <w:b/>
          <w:sz w:val="28"/>
          <w:szCs w:val="28"/>
        </w:rPr>
        <w:t>В чем альтернатива?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странах с развитыми образовательными системами тратятся большие деньги на то, чтобы проводить исследования, которые опред</w:t>
      </w:r>
      <w:r>
        <w:rPr>
          <w:rFonts w:ascii="Georgia" w:hAnsi="Georgia" w:cs="Georgia"/>
          <w:sz w:val="24"/>
          <w:szCs w:val="24"/>
        </w:rPr>
        <w:t>еляют эффективность тех или иных подходов более объективно. Они позволяют развенчивать популярные мифы и находить те подходы, которые приносят максимальный результат при адекватных затратах.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Проблема большинства исследований состоит в том, что учителя редк</w:t>
      </w:r>
      <w:r>
        <w:rPr>
          <w:rFonts w:ascii="Georgia" w:hAnsi="Georgia" w:cs="Georgia"/>
          <w:sz w:val="24"/>
          <w:szCs w:val="24"/>
        </w:rPr>
        <w:t>о читают научные статьи. А исследователи редко умеют описывать результаты своих работ так, чтобы это было интересно читать. Однако в последнее время появляется все больше обзоров научных работ, сделанных специально для руководителей школ и учителей. Наприм</w:t>
      </w:r>
      <w:r>
        <w:rPr>
          <w:rFonts w:ascii="Georgia" w:hAnsi="Georgia" w:cs="Georgia"/>
          <w:sz w:val="24"/>
          <w:szCs w:val="24"/>
        </w:rPr>
        <w:t>ер, ученый Джон Хэтти из Университета Мельбурна задался целью проанализировать основные научные работы о факторах, которые связаны с качеством образования школьников, и обобщить их в одной работе.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Количество статей и исследовательских работ, которые вошли </w:t>
      </w:r>
      <w:r>
        <w:rPr>
          <w:rFonts w:ascii="Georgia" w:hAnsi="Georgia" w:cs="Georgia"/>
          <w:sz w:val="24"/>
          <w:szCs w:val="24"/>
        </w:rPr>
        <w:t>в обзор, воистину впечатляет. Автор проанализировал более 900 научных статей (из них 100 — это метаанализы) об эффективности преподавания, образовательных реформ, внедрения инноваций, внешних факторов обучения и пр. Всего работа обобщает более 52 тысяч исс</w:t>
      </w:r>
      <w:r>
        <w:rPr>
          <w:rFonts w:ascii="Georgia" w:hAnsi="Georgia" w:cs="Georgia"/>
          <w:sz w:val="24"/>
          <w:szCs w:val="24"/>
        </w:rPr>
        <w:t>ледований с участием более 240 млн учеников в разных странах.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Джон Хэтти для всех измерений в статьях находит так называемый effect size: если объяснять максимально просто, то это насколько исследуемый параметр (использование групповой работы на уроке, выс</w:t>
      </w:r>
      <w:r>
        <w:rPr>
          <w:rFonts w:ascii="Georgia" w:hAnsi="Georgia" w:cs="Georgia"/>
          <w:sz w:val="24"/>
          <w:szCs w:val="24"/>
        </w:rPr>
        <w:t xml:space="preserve">шее образование родителей, учеба в малом классе и пр.) </w:t>
      </w:r>
      <w:r>
        <w:rPr>
          <w:rFonts w:ascii="Georgia" w:hAnsi="Georgia" w:cs="Georgia"/>
          <w:sz w:val="24"/>
          <w:szCs w:val="24"/>
        </w:rPr>
        <w:lastRenderedPageBreak/>
        <w:t>изменяет средние показатели учебной эффективности (например, итоговых тестов, результатов PISA и пр.).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Ученый все исследования разбивает на шесть подгрупп (ученик, дом/семья, учитель, школа, учебная пр</w:t>
      </w:r>
      <w:r>
        <w:rPr>
          <w:rFonts w:ascii="Georgia" w:hAnsi="Georgia" w:cs="Georgia"/>
          <w:sz w:val="24"/>
          <w:szCs w:val="24"/>
        </w:rPr>
        <w:t>ограмма, методики обучения). Например, факторы, связанные с учеником, включают пол, здоровье, мотивацию, личностные особенности и подобное.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результате исследователь получает такую таблицу значений (см. табл.).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4176"/>
        <w:gridCol w:w="2683"/>
        <w:gridCol w:w="1570"/>
        <w:gridCol w:w="1843"/>
      </w:tblGrid>
      <w:tr w:rsidR="00A13219" w:rsidRPr="00A13219" w:rsidTr="00A13219">
        <w:trPr>
          <w:trHeight w:val="60"/>
        </w:trPr>
        <w:tc>
          <w:tcPr>
            <w:tcW w:w="2033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637F05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  <w:szCs w:val="18"/>
              </w:rPr>
              <w:t>Измерение</w:t>
            </w:r>
          </w:p>
        </w:tc>
        <w:tc>
          <w:tcPr>
            <w:tcW w:w="1306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637F05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  <w:szCs w:val="18"/>
              </w:rPr>
              <w:t>Кол-во исследований в анализе</w:t>
            </w:r>
          </w:p>
        </w:tc>
        <w:tc>
          <w:tcPr>
            <w:tcW w:w="764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637F05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  <w:szCs w:val="18"/>
              </w:rPr>
              <w:t>Effect size</w:t>
            </w:r>
          </w:p>
        </w:tc>
        <w:tc>
          <w:tcPr>
            <w:tcW w:w="897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b/>
                <w:color w:val="000000"/>
                <w:sz w:val="18"/>
                <w:szCs w:val="18"/>
              </w:rPr>
            </w:pPr>
            <w:r w:rsidRPr="00637F05">
              <w:rPr>
                <w:rFonts w:ascii="OfficinaSansBoldC-Italic" w:hAnsi="OfficinaSansBoldC-Italic" w:cs="OfficinaSansBoldC-Italic"/>
                <w:b/>
                <w:i/>
                <w:iCs/>
                <w:color w:val="000000"/>
                <w:sz w:val="18"/>
                <w:szCs w:val="18"/>
              </w:rPr>
              <w:t>Стандартная ошибка</w:t>
            </w:r>
          </w:p>
        </w:tc>
      </w:tr>
      <w:tr w:rsidR="00A13219" w:rsidRPr="00A13219" w:rsidTr="00A13219">
        <w:trPr>
          <w:trHeight w:val="475"/>
        </w:trPr>
        <w:tc>
          <w:tcPr>
            <w:tcW w:w="2033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 xml:space="preserve">Ученик (например, его способности или мотивация) </w:t>
            </w:r>
          </w:p>
        </w:tc>
        <w:tc>
          <w:tcPr>
            <w:tcW w:w="1306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11 909</w:t>
            </w:r>
          </w:p>
        </w:tc>
        <w:tc>
          <w:tcPr>
            <w:tcW w:w="764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897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0,044</w:t>
            </w:r>
          </w:p>
        </w:tc>
      </w:tr>
      <w:tr w:rsidR="00A13219" w:rsidRPr="00A13219" w:rsidTr="00A13219">
        <w:trPr>
          <w:trHeight w:val="475"/>
        </w:trPr>
        <w:tc>
          <w:tcPr>
            <w:tcW w:w="2033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 xml:space="preserve">Дом, семья (образование, ценности родителей) </w:t>
            </w:r>
          </w:p>
        </w:tc>
        <w:tc>
          <w:tcPr>
            <w:tcW w:w="1306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2 347</w:t>
            </w:r>
          </w:p>
        </w:tc>
        <w:tc>
          <w:tcPr>
            <w:tcW w:w="764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897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0,053</w:t>
            </w:r>
          </w:p>
        </w:tc>
      </w:tr>
      <w:tr w:rsidR="00A13219" w:rsidRPr="00A13219" w:rsidTr="00A13219">
        <w:trPr>
          <w:trHeight w:val="60"/>
        </w:trPr>
        <w:tc>
          <w:tcPr>
            <w:tcW w:w="2033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 xml:space="preserve">Школа (финансовая обеспеченность, расположение) </w:t>
            </w:r>
          </w:p>
        </w:tc>
        <w:tc>
          <w:tcPr>
            <w:tcW w:w="1306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4 688</w:t>
            </w:r>
          </w:p>
        </w:tc>
        <w:tc>
          <w:tcPr>
            <w:tcW w:w="764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897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0,072</w:t>
            </w:r>
          </w:p>
        </w:tc>
      </w:tr>
      <w:tr w:rsidR="00A13219" w:rsidRPr="00A13219" w:rsidTr="00A13219">
        <w:trPr>
          <w:trHeight w:val="60"/>
        </w:trPr>
        <w:tc>
          <w:tcPr>
            <w:tcW w:w="2033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1306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2 452</w:t>
            </w:r>
          </w:p>
        </w:tc>
        <w:tc>
          <w:tcPr>
            <w:tcW w:w="764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897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0,054</w:t>
            </w:r>
          </w:p>
        </w:tc>
      </w:tr>
      <w:tr w:rsidR="00A13219" w:rsidRPr="00A13219" w:rsidTr="00A13219">
        <w:trPr>
          <w:trHeight w:val="60"/>
        </w:trPr>
        <w:tc>
          <w:tcPr>
            <w:tcW w:w="2033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Учебный план</w:t>
            </w:r>
          </w:p>
        </w:tc>
        <w:tc>
          <w:tcPr>
            <w:tcW w:w="1306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10 129</w:t>
            </w:r>
          </w:p>
        </w:tc>
        <w:tc>
          <w:tcPr>
            <w:tcW w:w="764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897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0,075</w:t>
            </w:r>
          </w:p>
        </w:tc>
      </w:tr>
      <w:tr w:rsidR="00A13219" w:rsidRPr="00A13219" w:rsidTr="00A13219">
        <w:trPr>
          <w:trHeight w:val="60"/>
        </w:trPr>
        <w:tc>
          <w:tcPr>
            <w:tcW w:w="2033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 xml:space="preserve">Преподавание (использование определенных методик) </w:t>
            </w:r>
          </w:p>
        </w:tc>
        <w:tc>
          <w:tcPr>
            <w:tcW w:w="1306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28 642</w:t>
            </w:r>
          </w:p>
        </w:tc>
        <w:tc>
          <w:tcPr>
            <w:tcW w:w="764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897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0,070</w:t>
            </w:r>
          </w:p>
        </w:tc>
      </w:tr>
      <w:tr w:rsidR="00A13219" w:rsidRPr="00A13219" w:rsidTr="00A13219">
        <w:trPr>
          <w:trHeight w:val="306"/>
        </w:trPr>
        <w:tc>
          <w:tcPr>
            <w:tcW w:w="2033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ldC" w:hAnsi="OfficinaSansBoldC" w:cs="OfficinaSansBoldC"/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306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OfficinaSansBoldC-Italic" w:hAnsi="OfficinaSansBoldC-Italic"/>
                <w:sz w:val="24"/>
                <w:szCs w:val="24"/>
              </w:rPr>
            </w:pPr>
          </w:p>
        </w:tc>
        <w:tc>
          <w:tcPr>
            <w:tcW w:w="764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897" w:type="pct"/>
          </w:tcPr>
          <w:p w:rsidR="00A13219" w:rsidRPr="00637F05" w:rsidRDefault="00A13219" w:rsidP="00A13219">
            <w:pPr>
              <w:autoSpaceDE w:val="0"/>
              <w:autoSpaceDN w:val="0"/>
              <w:adjustRightInd w:val="0"/>
              <w:spacing w:after="0" w:line="232" w:lineRule="atLeast"/>
              <w:ind w:left="57" w:right="57"/>
              <w:jc w:val="center"/>
              <w:textAlignment w:val="center"/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</w:pPr>
            <w:r w:rsidRPr="00637F05">
              <w:rPr>
                <w:rFonts w:ascii="OfficinaSansBookC" w:hAnsi="OfficinaSansBookC" w:cs="OfficinaSansBookC"/>
                <w:color w:val="000000"/>
                <w:sz w:val="18"/>
                <w:szCs w:val="18"/>
              </w:rPr>
              <w:t>0,061</w:t>
            </w:r>
          </w:p>
        </w:tc>
      </w:tr>
    </w:tbl>
    <w:p w:rsidR="00461A69" w:rsidRDefault="00A13219">
      <w:r>
        <w:rPr>
          <w:rFonts w:ascii="Georgia" w:hAnsi="Georgia" w:cs="Georgia"/>
          <w:sz w:val="24"/>
          <w:szCs w:val="24"/>
        </w:rPr>
        <w:t xml:space="preserve"> 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Эффект учителя, как видно из таблицы, в итоге самый высокий. Удивительно это для вас или нет? Больше, чем личные качества ученика (</w:t>
      </w:r>
      <w:r>
        <w:rPr>
          <w:rFonts w:ascii="Georgia" w:hAnsi="Georgia" w:cs="Georgia"/>
          <w:sz w:val="24"/>
          <w:szCs w:val="24"/>
        </w:rPr>
        <w:t>способности, мотивация и пр.) и социально-экономический и культурный статус семьи. А эффект школы в целом самый малый из исследуемых. Схожие выводы можно найти в докладе Майкла Барбера и Моны Муршед о том, что разброс качества преподавания внутри одной шко</w:t>
      </w:r>
      <w:r>
        <w:rPr>
          <w:rFonts w:ascii="Georgia" w:hAnsi="Georgia" w:cs="Georgia"/>
          <w:sz w:val="24"/>
          <w:szCs w:val="24"/>
        </w:rPr>
        <w:t>лы обычно больше, чем разница между школами.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Автор приводит таблицы с описанием отдельных факторов и размера эффектов. На изображении приведены некоторые из них (см. схему).</w:t>
      </w:r>
    </w:p>
    <w:p w:rsidR="00461A69" w:rsidRPr="00A13219" w:rsidRDefault="00A13219" w:rsidP="00A13219">
      <w:pPr>
        <w:spacing w:after="50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787140" cy="352044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35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Гораздо более подробная таблица с описанием 195 факторов представлена на сайте исследования (на английском языке).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Если вы внимательно присмотритесь к таблице, то найдете ответы на вопросы из начала статьи. Можно считать, что все эффекты с размером 0,2 и н</w:t>
      </w:r>
      <w:r>
        <w:rPr>
          <w:rFonts w:ascii="Georgia" w:hAnsi="Georgia" w:cs="Georgia"/>
          <w:sz w:val="24"/>
          <w:szCs w:val="24"/>
        </w:rPr>
        <w:t>иже довольно незначительны, чтобы строить на них программы обучения. Эффекты от 0,2 до 0,4 уже заметны, но не оптимальны.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Лишь развернутая обратная связь на уроке существенно коррелирует с высокими достижениями. Все остальные параметры — это скорее стереот</w:t>
      </w:r>
      <w:r>
        <w:rPr>
          <w:rFonts w:ascii="Georgia" w:hAnsi="Georgia" w:cs="Georgia"/>
          <w:sz w:val="24"/>
          <w:szCs w:val="24"/>
        </w:rPr>
        <w:t>ипы. Насколько вы были близки к истине?</w:t>
      </w:r>
    </w:p>
    <w:p w:rsidR="00461A69" w:rsidRDefault="00A13219">
      <w:pPr>
        <w:spacing w:after="150"/>
      </w:pPr>
      <w:r>
        <w:rPr>
          <w:rFonts w:ascii="Georgia" w:hAnsi="Georgia" w:cs="Georgia"/>
          <w:b/>
          <w:sz w:val="28"/>
          <w:szCs w:val="28"/>
        </w:rPr>
        <w:t>Зачем это знать руководителю?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Вероятно, каждый директор хотел бы применять в школе те методы и технологии, которые приносили бы максимальный результат при разумных усилиях. Этот обзор исследований позволяет отделить </w:t>
      </w:r>
      <w:r>
        <w:rPr>
          <w:rFonts w:ascii="Georgia" w:hAnsi="Georgia" w:cs="Georgia"/>
          <w:sz w:val="24"/>
          <w:szCs w:val="24"/>
        </w:rPr>
        <w:t>зерна от плевел: не быть в плену у стерео</w:t>
      </w:r>
      <w:r>
        <w:rPr>
          <w:rFonts w:ascii="Georgia" w:hAnsi="Georgia" w:cs="Georgia"/>
          <w:sz w:val="24"/>
          <w:szCs w:val="24"/>
        </w:rPr>
        <w:t>типов и развивать в школе то, что с наибольшей вероятностью принесет лучшую отдачу.</w:t>
      </w:r>
    </w:p>
    <w:p w:rsidR="00461A69" w:rsidRDefault="00A13219" w:rsidP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Автор рекомендует обращать внимание на те факторы, чей эффект более 0,4, </w:t>
      </w:r>
      <w:r>
        <w:rPr>
          <w:rFonts w:ascii="Georgia" w:hAnsi="Georgia" w:cs="Georgia"/>
          <w:sz w:val="24"/>
          <w:szCs w:val="24"/>
        </w:rPr>
        <w:t>т. е.</w:t>
      </w:r>
      <w:r>
        <w:rPr>
          <w:rFonts w:ascii="Georgia" w:hAnsi="Georgia" w:cs="Georgia"/>
          <w:sz w:val="24"/>
          <w:szCs w:val="24"/>
        </w:rPr>
        <w:t xml:space="preserve"> выше среднего. Джон Хэтти делает резонный вывод, что в целом разные способы повышения эффективности имеют право быть, но разные интервенции имеют различную стоимость. Например, сравнимые по эффекту сокращение классов с 25 до 15 человек (ES = 0,21) и испол</w:t>
      </w:r>
      <w:r>
        <w:rPr>
          <w:rFonts w:ascii="Georgia" w:hAnsi="Georgia" w:cs="Georgia"/>
          <w:sz w:val="24"/>
          <w:szCs w:val="24"/>
        </w:rPr>
        <w:t>ьзование программ подготовки к тестам (ES = 0,27) несопоставимы по затратам государства или отдельной школы.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Кроме того, в таблице представлены как факторы, на которые школа может повлиять (например, использование формативного оценивания), так и факторы, н</w:t>
      </w:r>
      <w:r>
        <w:rPr>
          <w:rFonts w:ascii="Georgia" w:hAnsi="Georgia" w:cs="Georgia"/>
          <w:sz w:val="24"/>
          <w:szCs w:val="24"/>
        </w:rPr>
        <w:t>а которые повлиять практически не может (время ученика перед телевизором).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Если выбирать педагогические идеи для всей школы, то хорошо бы руководствоваться не только симпатиями, но и данными исследований.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Что можно использовать здесь и сейчас?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Стоит отмети</w:t>
      </w:r>
      <w:r>
        <w:rPr>
          <w:rFonts w:ascii="Georgia" w:hAnsi="Georgia" w:cs="Georgia"/>
          <w:sz w:val="24"/>
          <w:szCs w:val="24"/>
        </w:rPr>
        <w:t>ть, что большинство исследований проводилось в США, Великобритании, Австралии или Европе. Поэтому некоторые из подходов пока еще мало распространены в России, по ним нет русскоязычной методической поддержки (скажем, программы по Пиаже).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Однако некоторые ме</w:t>
      </w:r>
      <w:r>
        <w:rPr>
          <w:rFonts w:ascii="Georgia" w:hAnsi="Georgia" w:cs="Georgia"/>
          <w:sz w:val="24"/>
          <w:szCs w:val="24"/>
        </w:rPr>
        <w:t>тодики и приемы хорошо разработаны и уже активно внедряются на постсоветском пространстве. Достаточно много информации и прикладных материалов можно найти по формативному оцениванию (ES = 0,68), например на сайте Центра педагогического мастерства. Еще можн</w:t>
      </w:r>
      <w:r>
        <w:rPr>
          <w:rFonts w:ascii="Georgia" w:hAnsi="Georgia" w:cs="Georgia"/>
          <w:sz w:val="24"/>
          <w:szCs w:val="24"/>
        </w:rPr>
        <w:t>о обратить внимание на материалы по формированию высоких ожиданий (ES = 1,66) и постановке сложных вопросов (ES = 0,48) — возможности развития этих направлений представлены в информационно-аналитической системе «Директория».</w:t>
      </w:r>
    </w:p>
    <w:p w:rsidR="00461A69" w:rsidRDefault="00A1321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В следующей статье речь пойдет </w:t>
      </w:r>
      <w:r>
        <w:rPr>
          <w:rFonts w:ascii="Georgia" w:hAnsi="Georgia" w:cs="Georgia"/>
          <w:sz w:val="24"/>
          <w:szCs w:val="24"/>
        </w:rPr>
        <w:t>о том, как использовать формирующее оценивание на уроке. Размер эффекта в 0,73 стоит того, чтобы вчитаться!</w:t>
      </w:r>
    </w:p>
    <w:p w:rsidR="00A13219" w:rsidRDefault="00A13219">
      <w:pPr>
        <w:spacing w:after="100"/>
        <w:rPr>
          <w:rFonts w:ascii="Georgia" w:hAnsi="Georgia" w:cs="Georgia"/>
          <w:b/>
          <w:sz w:val="24"/>
          <w:szCs w:val="24"/>
          <w:lang w:val="en-US"/>
        </w:rPr>
      </w:pPr>
    </w:p>
    <w:p w:rsidR="00A13219" w:rsidRDefault="00A13219">
      <w:pPr>
        <w:spacing w:after="100"/>
        <w:rPr>
          <w:rFonts w:ascii="Georgia" w:hAnsi="Georgia" w:cs="Georgia"/>
          <w:b/>
          <w:sz w:val="24"/>
          <w:szCs w:val="24"/>
          <w:lang w:val="en-US"/>
        </w:rPr>
      </w:pPr>
    </w:p>
    <w:p w:rsidR="00461A69" w:rsidRDefault="00A13219">
      <w:pPr>
        <w:spacing w:after="100"/>
      </w:pPr>
      <w:r>
        <w:rPr>
          <w:rFonts w:ascii="Georgia" w:hAnsi="Georgia" w:cs="Georgia"/>
          <w:b/>
          <w:sz w:val="24"/>
          <w:szCs w:val="24"/>
        </w:rPr>
        <w:lastRenderedPageBreak/>
        <w:t>Отзывы экспертов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461A69">
        <w:tc>
          <w:tcPr>
            <w:tcW w:w="12000" w:type="dxa"/>
            <w:tcBorders>
              <w:top w:val="single" w:sz="0" w:space="0" w:color="FFFFFF"/>
              <w:left w:val="single" w:sz="40" w:space="0" w:color="76923C"/>
              <w:bottom w:val="single" w:sz="7" w:space="0" w:color="FFFFFF"/>
              <w:right w:val="single" w:sz="7" w:space="0" w:color="FFFFFF"/>
            </w:tcBorders>
            <w:shd w:val="clear" w:color="auto" w:fill="EAF1DD"/>
            <w:vAlign w:val="both"/>
          </w:tcPr>
          <w:p w:rsidR="00461A69" w:rsidRDefault="00A13219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«Если в таблице (количество эффектов в анализе) суммировать измерения, которые в конечном итоге зависят от учителя, — “учитель”, “у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чебный план”, “преподавание”, то становится очевидным, что главный человек в школе — это учитель! Если еще прибавить измерение “ученик”, то есть для кого работает учитель, становится очевидным тандем “учитель – ученик”, который и определит эффективность об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разования в конкретной школе как слагаемое и в стране как сумма. Для меня данная статья — это очевидное в цифрах».</w:t>
            </w:r>
          </w:p>
          <w:p w:rsidR="00461A69" w:rsidRDefault="00A13219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«Материал статьи интересный, измерения представлены по факторам, на которые может влиять школа, выделены наиболее эффективные. Тот случай, ко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гда мониторинг может действительно оказать реальную помощь в оценке качества образования».</w:t>
            </w:r>
          </w:p>
          <w:p w:rsidR="00461A69" w:rsidRDefault="00A13219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«Я всегда подозревала, что требование учителей уменьшить число обучаемых в классе для повышения качественной успеваемости — чистой воды манипуляция. Сейчас у меня в 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руках научно обоснованные аргументы, доказывающие, что эффективность образования зависит в первую очередь от мастеровитости учителя».</w:t>
            </w:r>
          </w:p>
        </w:tc>
      </w:tr>
    </w:tbl>
    <w:p w:rsidR="00461A69" w:rsidRDefault="00461A69"/>
    <w:p w:rsidR="00461A69" w:rsidRDefault="00461A69"/>
    <w:p w:rsidR="00461A69" w:rsidRDefault="00461A69"/>
    <w:p w:rsidR="00461A69" w:rsidRDefault="00461A69"/>
    <w:p w:rsidR="00461A69" w:rsidRDefault="00461A69"/>
    <w:p w:rsidR="00461A69" w:rsidRDefault="00A13219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69" w:rsidRDefault="00461A69">
      <w:hyperlink r:id="rId9" w:history="1">
        <w:r w:rsidR="00A13219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461A69" w:rsidRDefault="00A13219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2016</w:t>
      </w:r>
    </w:p>
    <w:p w:rsidR="00461A69" w:rsidRDefault="00A13219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Директор школы №10 (213), 2016</w:t>
      </w:r>
    </w:p>
    <w:sectPr w:rsidR="00461A69" w:rsidSect="00461A69">
      <w:footerReference w:type="default" r:id="rId10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A69" w:rsidRDefault="00461A69" w:rsidP="00461A69">
      <w:pPr>
        <w:spacing w:after="0" w:line="240" w:lineRule="auto"/>
      </w:pPr>
      <w:r>
        <w:separator/>
      </w:r>
    </w:p>
  </w:endnote>
  <w:endnote w:type="continuationSeparator" w:id="1">
    <w:p w:rsidR="00461A69" w:rsidRDefault="00461A69" w:rsidP="0046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fficinaSansBold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69" w:rsidRDefault="00A13219">
    <w:pPr>
      <w:jc w:val="center"/>
    </w:pPr>
    <w:r>
      <w:rPr>
        <w:rFonts w:ascii="Georgia" w:hAnsi="Georgia" w:cs="Georgia"/>
        <w:b/>
      </w:rPr>
      <w:t xml:space="preserve">~ </w:t>
    </w:r>
    <w:r w:rsidR="00461A69">
      <w:fldChar w:fldCharType="begin"/>
    </w:r>
    <w:r>
      <w:rPr>
        <w:rFonts w:ascii="Georgia" w:hAnsi="Georgia" w:cs="Georgia"/>
        <w:b/>
      </w:rPr>
      <w:instrText>PAGE</w:instrText>
    </w:r>
    <w:r>
      <w:fldChar w:fldCharType="separate"/>
    </w:r>
    <w:r>
      <w:rPr>
        <w:rFonts w:ascii="Georgia" w:hAnsi="Georgia" w:cs="Georgia"/>
        <w:b/>
        <w:noProof/>
      </w:rPr>
      <w:t>5</w:t>
    </w:r>
    <w:r w:rsidR="00461A69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A69" w:rsidRDefault="00461A69" w:rsidP="00461A69">
      <w:pPr>
        <w:spacing w:after="0" w:line="240" w:lineRule="auto"/>
      </w:pPr>
      <w:r>
        <w:separator/>
      </w:r>
    </w:p>
  </w:footnote>
  <w:footnote w:type="continuationSeparator" w:id="1">
    <w:p w:rsidR="00461A69" w:rsidRDefault="00461A69" w:rsidP="0046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E491376"/>
    <w:multiLevelType w:val="hybridMultilevel"/>
    <w:tmpl w:val="AAD07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1A69"/>
    <w:rsid w:val="00461A69"/>
    <w:rsid w:val="00A1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461A69"/>
    <w:tblPr>
      <w:tblCellMar>
        <w:top w:w="300" w:type="dxa"/>
        <w:left w:w="200" w:type="dxa"/>
        <w:bottom w:w="70" w:type="dxa"/>
        <w:right w:w="200" w:type="dxa"/>
      </w:tblCellMar>
    </w:tblPr>
  </w:style>
  <w:style w:type="table" w:styleId="a3">
    <w:name w:val="Table Grid"/>
    <w:basedOn w:val="a1"/>
    <w:uiPriority w:val="59"/>
    <w:rsid w:val="00A1321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irektor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2016-11-25T09:43:00Z</dcterms:created>
  <dcterms:modified xsi:type="dcterms:W3CDTF">2016-11-25T09:43:00Z</dcterms:modified>
  <cp:category/>
</cp:coreProperties>
</file>