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pict>
          <v:shape type="#_x0000_t75" style="width:185px;height:24px">
            <v:imagedata r:id="rId7" o:title=""/>
          </v:shape>
        </w:pict>
      </w:r>
    </w:p>
    <w:p>
      <w:pPr>
        <w:jc w:val="left"/>
        <w:spacing w:after="500"/>
      </w:pPr>
      <w:r>
        <w:rPr>
          <w:rFonts w:ascii="Georgia" w:hAnsi="Georgia" w:cs="Georgia"/>
          <w:sz w:val="64"/>
          <w:szCs w:val="64"/>
          <w:i/>
          <w:iCs/>
        </w:rPr>
        <w:t xml:space="preserve">Люди и связи</w:t>
      </w:r>
    </w:p>
    <w:tbl>
      <w:tblPr>
        <w:tblStyle w:val="temp_table_style"/>
      </w:tblPr>
      <w:tblGrid>
        <w:gridCol w:w="10056" w:type="dxa"/>
      </w:tblGrid>
      <w:tr>
        <w:tc>
          <w:tcPr>
            <w:tcW w:w="15000" w:type="dxa"/>
            <w:vAlign w:val="both"/>
            <w:tcBorders>
              <w:top w:val="single" w:sz="7" w:color="000000"/>
              <w:left w:val="single" w:sz="7" w:color="ffffff"/>
              <w:right w:val="single" w:sz="7" w:color="ffffff"/>
              <w:bottom w:val="single" w:sz="7" w:color="000000"/>
            </w:tcBorders>
          </w:tcPr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Кухарев Антон Иванович</w:t>
            </w:r>
          </w:p>
          <w:p/>
        </w:tc>
      </w:tr>
    </w:tbl>
    <w:p/>
    <w:p>
      <w:pPr>
        <w:jc w:val="both"/>
        <w:spacing w:after="400"/>
      </w:pPr>
      <w:r>
        <w:rPr>
          <w:rFonts w:ascii="Georgia" w:hAnsi="Georgia" w:cs="Georgia"/>
          <w:sz w:val="24"/>
          <w:szCs w:val="24"/>
          <w:b/>
        </w:rPr>
        <w:t xml:space="preserve">В современных исследованиях системы образования в России все чаще встречается термин «стабильно неуспешная школа». В большей степени это касается сельских образовательных организаций. Не секрет, что сельская школа сегодня существует в условиях крайней ограниченности ресурсов. На систему повышения квалификации также не приходится рассчитывать. Закономерно возникает вопрос: существует ли внутри организации что­то, что способно обеспечить устойчивое развитие сельской школы?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Авторитетный канадский исследователь Майкл Фуллан, приводя в качестве доказательства результаты исследования компании McKinsey и других, называет одним из по-настоящему эффективных двигателей повышения качества образовательной системы </w:t>
      </w:r>
      <w:r>
        <w:rPr>
          <w:rFonts w:ascii="Georgia" w:hAnsi="Georgia" w:cs="Georgia"/>
          <w:sz w:val="24"/>
          <w:szCs w:val="24"/>
          <w:i/>
          <w:iCs/>
        </w:rPr>
        <w:t xml:space="preserve">организацию группового взаимодействия педагогов</w:t>
      </w:r>
      <w:r>
        <w:rPr>
          <w:rFonts w:ascii="Georgia" w:hAnsi="Georgia" w:cs="Georgia"/>
          <w:sz w:val="24"/>
          <w:szCs w:val="24"/>
        </w:rPr>
        <w:t xml:space="preserve"> (другими словами, повышение социального капитала): «Низкий социальный капитал делает высокопрофессионального учителя менее эффективным, а плохого — еще хуже. Напротив, целенаправленные совместные практики мобилизуют и совершенствуют знание в системе, позволяя учителям узнавать, что делают их коллеги, и учиться у них».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Помимо данного исследования существует множество теоретических и практических оснований считать повышение уровня социального капитала действительно мощным ресурсом развития организации.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Что же такое социальный капитал?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Мы не будем углубляться в теорию вопроса (мы ведь практики), а приведем простое рабочее определение: </w:t>
      </w:r>
      <w:r>
        <w:rPr>
          <w:rFonts w:ascii="Georgia" w:hAnsi="Georgia" w:cs="Georgia"/>
          <w:sz w:val="24"/>
          <w:szCs w:val="24"/>
          <w:b/>
        </w:rPr>
        <w:t xml:space="preserve">социальный капитал — это способность людей объединяться для достижения общей цели, одинаково выгодной как для индивидов, так и для всей организации в целом.</w:t>
      </w:r>
      <w:r>
        <w:rPr>
          <w:rFonts w:ascii="Georgia" w:hAnsi="Georgia" w:cs="Georgia"/>
          <w:sz w:val="24"/>
          <w:szCs w:val="24"/>
        </w:rPr>
        <w:t xml:space="preserve"> Эта способность основана на доверии (доверяют ли учителя друг другу?), на наличии или отсутствии практики взаимодействия (умеют ли учителя взаимодействовать?), а также на корпоративных нормах (считается ли в коллективе взаимодействие и сотрудничество приемлемым организационным поведением?).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Совершенно очевидно, что поставить общую цель и заинтересовать учителей ее достижением не есть простой и легкий способ повышения уровня сотрудничества и взаимодействия. Если этого нет, то этому нужно учиться.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Понятие социального капитала тесно связано с понятием структуры организации (формальной и неформальной). Реальная структура организации представляется нам как социальная сеть (не путать с Facebook и т. п.) — это </w:t>
      </w:r>
      <w:r>
        <w:rPr>
          <w:rFonts w:ascii="Georgia" w:hAnsi="Georgia" w:cs="Georgia"/>
          <w:sz w:val="24"/>
          <w:szCs w:val="24"/>
          <w:i/>
          <w:iCs/>
        </w:rPr>
        <w:t xml:space="preserve">люди и профессиональные связи между ними</w:t>
      </w:r>
      <w:r>
        <w:rPr>
          <w:rFonts w:ascii="Georgia" w:hAnsi="Georgia" w:cs="Georgia"/>
          <w:sz w:val="24"/>
          <w:szCs w:val="24"/>
        </w:rPr>
        <w:t xml:space="preserve">. Простая структура — мало профессиональных связей, низкий уровень взаимодействия; сложная структура — много профессиональный связей, высокий уровень сотрудничества.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Изменение структуры организации — это перепроектирование ролей, смена лидеров и аутсайдеров, изменение объема и направления информационных потоков. Процесс этот довольно болезненный, но об этом позже.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Есть еще одно противоречие, о котором мы не можем не сказать. В новых стандартах зафиксированы требования к результатам обучения: формирование универсальных учебных действий, метапредметные компетентности, освоение способов совместной деятельности и т.д. и т.п. Но, как показывает практика, педагоги сами не имеют привычки профессионального взаимодействия.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А ваши учителя умеют взаимодействовать? Как часто ваши учителя общаются на профессиональные темы? Приветствуются ли устойчивые неформальные объединения учителей в вашей школе? Называются они творческими союзами или группировками? Доверяют ли ваши учителя друг другу? Создана ли в вашей школе атмосфера сотрудничества, доверия и распространения знаний? Насколько сложна структура вашей организации?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Кажется, взаимодействие есть — по-другому и быть не может.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Мы попытались измерить уровень взаимодействия и доверия в коллективе конкретной школы и сделали попытку управлять процессом накопления социального капитала </w:t>
      </w:r>
      <w:r>
        <w:rPr>
          <w:rFonts w:ascii="Georgia" w:hAnsi="Georgia" w:cs="Georgia"/>
          <w:sz w:val="24"/>
          <w:szCs w:val="24"/>
          <w:i/>
          <w:iCs/>
        </w:rPr>
        <w:t xml:space="preserve">на основе конкретных данных</w:t>
      </w:r>
      <w:r>
        <w:rPr>
          <w:rFonts w:ascii="Georgia" w:hAnsi="Georgia" w:cs="Georgia"/>
          <w:sz w:val="24"/>
          <w:szCs w:val="24"/>
        </w:rPr>
        <w:t xml:space="preserve">, а не личных впечатлений и представлений. Самое интересное: через один учебный год мы зафиксировали последствия своих управленческих действий.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Как измерить уровень социального капитала в сельской (и не только) школе?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Изобретенный нами («самодельный») инструмент измерения уровня социального капитала состоит из двух частей: первая — оригинальный опросник для фиксации степени доверия и уровня взаимодействия в коллективе, вторая — социометрическая анкета для построения матрицы взаимодействий и измерения плотности социальной сети (сама методика предложена еще Д. Морено в середине XX века).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Первая часть анкеты — анонимная (так мы попытались избежать социально ожидаемых ответов со стороны учителей). Вторая — открытая.</w:t>
      </w:r>
    </w:p>
    <w:p>
      <w:pPr>
        <w:jc w:val="center"/>
        <w:spacing w:before="500"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Анкета №</w:t>
      </w:r>
      <w:r>
        <w:rPr>
          <w:rFonts w:ascii="Georgia" w:hAnsi="Georgia" w:cs="Georgia"/>
          <w:sz w:val="24"/>
          <w:szCs w:val="24"/>
          <w:b/>
          <w:i/>
          <w:iCs/>
        </w:rPr>
        <w:t xml:space="preserve"> 1 (доверие и взаимодействие)</w:t>
      </w:r>
    </w:p>
    <w:tbl>
      <w:tblPr>
        <w:tblStyle w:val="temp_table_style"/>
      </w:tblPr>
      <w:tblGrid>
        <w:gridCol w:w="3630" w:type="dxa"/>
        <w:gridCol w:w="3825" w:type="dxa"/>
      </w:tblGrid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Вопрос</w:t>
            </w:r>
          </w:p>
        </w:tc>
        <w:tc>
          <w:tcPr>
            <w:tcW w:w="382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center"/>
              <w:spacing w:after="150"/>
            </w:pPr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Варианты ответов</w:t>
            </w:r>
          </w:p>
        </w:tc>
      </w:tr>
    </w:tbl>
    <w:tbl>
      <w:tblPr>
        <w:tblStyle w:val="temp_table_style"/>
      </w:tblPr>
      <w:tblGrid>
        <w:gridCol w:w="3630" w:type="dxa"/>
        <w:gridCol w:w="1320" w:type="dxa"/>
        <w:gridCol w:w="1230" w:type="dxa"/>
        <w:gridCol w:w="1275" w:type="dxa"/>
      </w:tblGrid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учителю (в широком смысле слова) можно доверять?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Да, можно всем без исключения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Да, можно, но не всем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Нет, нельзя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Открыта ли дверь в кабинет на ваших</w:t>
            </w:r>
          </w:p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уроках?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Всегда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Практически никогда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Только когда очень душно в кабинете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Согласовываете ли вы темы уроков по смежным предметам? (например, изучение частей речи на уроках русского и татарского языков)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Никогда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Сколько раз в текущем учебном году вы проводили интегрированный урок (или мероприятие) совместно с коллегами?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от 1 до 10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все ваши коллеги компетентны, что они выполняют свою работу не хуже вас?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при подготовке совместных мероприятий вы приложили больше усилий, чем некоторые из ваших коллег?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Нет, все прикладывают одинаковые усилия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распределение стимулирующих выплат по НСОТ в вашей школе справедливо?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чем больше стаж учителя, тем выше его компетентность?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Существует ли у вас общая копилка учебных материалов (проектов) с другими учителями?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Сколько уроков своих коллег вы посетили в текущем учебном году?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от 1 до 10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Сколько раз в текущем учебном году вы приглашали коллег на свои уроки?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от 1 до 10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Насколько часто вы обмениваетесь новыми идеями со своими коллегами?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Никогда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Как вы относитесь к нововведениям, которые проводит руководство школы?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Это правильная «политика», приведет к развитию школы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Пустая трата времени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Затрудняюсь ответить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Обращаетесь ли вы за помощью к коллегам при испытывании затруднений в образовательном процессе?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Как часто вы обращаетесь за помощью к коллегам?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Никогда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Как часто вы обращаетесь за помощью к директору?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Никогда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Как часто вы обращаетесь за помощью к заместителю директора?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Никогда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результат обучения зависит в большей степени от старания учащихся и контроля родителей?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Считаете ли вы, что руководство школы справедливо оценивает ваш труд?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Поддерживаете ли вы профессиональные связи с коллегами из других школ?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Никогда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Состоите ли вы в каких-нибудь добровольных профессиональных объединениях (кроме профсоюза)?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Да, состою. Активно в них работаю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Да, состою. Но просто числюсь там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Нет, не состою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Насколько активно работает ШМО, в котором вы состоите?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На заседаниях ШМО регулярно обсуждаем пед. новинки, готовимся к совместным мероприятиям, обмениваемся опытом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Заседания проводятся редко, только для протокола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Я не состою в ШМО или ШМО учителей моего предмета состоит только из одного человека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Какие еще формы взаимодействия с коллегами существуют в вашей школе?</w:t>
            </w:r>
          </w:p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(совместная учеба, мозговые штурмы, праздники, походы, корпоративы и т.п.)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Открытый</w:t>
            </w:r>
          </w:p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ответ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3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Если есть, как часто?</w:t>
            </w:r>
          </w:p>
        </w:tc>
        <w:tc>
          <w:tcPr>
            <w:tcW w:w="13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месяц и чаще</w:t>
            </w:r>
          </w:p>
        </w:tc>
        <w:tc>
          <w:tcPr>
            <w:tcW w:w="12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Раз в четверть и реже</w:t>
            </w:r>
          </w:p>
        </w:tc>
        <w:tc>
          <w:tcPr>
            <w:tcW w:w="127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 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Для удобства и автоматизации сбора и обработки данных мы воспользовались Гугл-документами: создание опроса заняло не более 15 минут, обработка данных с выведением всех диаграмм — не более пяти.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Вторая часть — социометрическая анкета. Участникам нужно было назвать себя и выбрать из списка не более двух коллег (это связано с тем, что в коллективе всего 16 педагогов).</w:t>
      </w:r>
    </w:p>
    <w:p>
      <w:pPr>
        <w:jc w:val="center"/>
        <w:spacing w:before="500"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Анкета № 2 (</w:t>
      </w:r>
      <w:r>
        <w:rPr>
          <w:rFonts w:ascii="Georgia" w:hAnsi="Georgia" w:cs="Georgia"/>
          <w:sz w:val="24"/>
          <w:szCs w:val="24"/>
          <w:b/>
          <w:i/>
          <w:iCs/>
        </w:rPr>
        <w:t xml:space="preserve">социометрическая анкета</w:t>
      </w:r>
      <w:r>
        <w:rPr>
          <w:rFonts w:ascii="Georgia" w:hAnsi="Georgia" w:cs="Georgia"/>
          <w:sz w:val="24"/>
          <w:szCs w:val="24"/>
          <w:b/>
          <w:i/>
          <w:iCs/>
        </w:rPr>
        <w:t xml:space="preserve">)</w:t>
      </w:r>
    </w:p>
    <w:tbl>
      <w:tblPr>
        <w:tblStyle w:val="temp_table_style"/>
      </w:tblPr>
      <w:tblGrid>
        <w:gridCol w:w="420" w:type="dxa"/>
        <w:gridCol w:w="5205" w:type="dxa"/>
        <w:gridCol w:w="1800" w:type="dxa"/>
      </w:tblGrid>
      <w:tr>
        <w:tc>
          <w:tcPr>
            <w:tcW w:w="4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№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520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Вопрос</w:t>
            </w:r>
          </w:p>
        </w:tc>
        <w:tc>
          <w:tcPr>
            <w:tcW w:w="180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center"/>
              <w:spacing w:after="150"/>
            </w:pPr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Ответы</w:t>
            </w:r>
          </w:p>
        </w:tc>
      </w:tr>
    </w:tbl>
    <w:tbl>
      <w:tblPr>
        <w:tblStyle w:val="temp_table_style"/>
      </w:tblPr>
      <w:tblGrid>
        <w:gridCol w:w="420" w:type="dxa"/>
        <w:gridCol w:w="5205" w:type="dxa"/>
        <w:gridCol w:w="1080" w:type="dxa"/>
        <w:gridCol w:w="720" w:type="dxa"/>
      </w:tblGrid>
      <w:tr>
        <w:tc>
          <w:tcPr>
            <w:tcW w:w="4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1</w:t>
            </w:r>
          </w:p>
        </w:tc>
        <w:tc>
          <w:tcPr>
            <w:tcW w:w="520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 кем из коллег вы имеете совместные базы проектов, медиаресурсов или к кому из коллег вы обращаетесь по вопросам обучения, воспитания, применения образовательных технологий?</w:t>
            </w:r>
          </w:p>
        </w:tc>
        <w:tc>
          <w:tcPr>
            <w:tcW w:w="108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 более</w:t>
            </w:r>
          </w:p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2 фамилий</w:t>
            </w:r>
          </w:p>
        </w:tc>
        <w:tc>
          <w:tcPr>
            <w:tcW w:w="7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 с кем</w:t>
            </w:r>
          </w:p>
        </w:tc>
      </w:tr>
      <w:tr>
        <w:tc>
          <w:tcPr>
            <w:tcW w:w="4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2</w:t>
            </w:r>
          </w:p>
        </w:tc>
        <w:tc>
          <w:tcPr>
            <w:tcW w:w="520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 кем из коллег вы отправились бы в длительную командировку или на учебу?</w:t>
            </w:r>
          </w:p>
        </w:tc>
        <w:tc>
          <w:tcPr>
            <w:tcW w:w="108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 более</w:t>
            </w:r>
          </w:p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2 фамилий</w:t>
            </w:r>
          </w:p>
        </w:tc>
        <w:tc>
          <w:tcPr>
            <w:tcW w:w="7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 с кем</w:t>
            </w:r>
          </w:p>
        </w:tc>
      </w:tr>
      <w:tr>
        <w:tc>
          <w:tcPr>
            <w:tcW w:w="4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3</w:t>
            </w:r>
          </w:p>
        </w:tc>
        <w:tc>
          <w:tcPr>
            <w:tcW w:w="520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 кем из коллег вы НЕ отправились бы в длительную командировку или на учебу?</w:t>
            </w:r>
          </w:p>
        </w:tc>
        <w:tc>
          <w:tcPr>
            <w:tcW w:w="108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Не более</w:t>
            </w:r>
          </w:p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2 фамилий</w:t>
            </w:r>
          </w:p>
        </w:tc>
        <w:tc>
          <w:tcPr>
            <w:tcW w:w="72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Ни с кем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 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Ответы были собраны так же (в электронном виде), но матрицу взаимодействий пришлось составлять вручную, графически изображать сеть — также вручную.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Важно! В исследовании должны принять участие все педагоги школы, иначе мы получим искаженную картину.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Таким образом, мы получили некий набор цифр, диаграмм и матрицу. Вопрос в том, что с ними делать? Как обрабатывать? Как увидеть проблемы или, наоборот, сильные стороны?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На эти вопросы у нас нет однозначного ответа. В этом случае мы можем лишь поделиться результатами анкетирования и выводами, к которым пришли при анализе своей школы.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Не будем выкладывать все результаты, а остановимся только на знаковых моментах, которые, как нам кажется, ярко рисуют портрет школы с точки зрения наличия социального капитала.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Итак, по результатам анкетирования мы обнаружили средний уровень доверия: 38% учителей доверяют другим учителям, 56% не сомневаются в компетентности коллег, 25% обмениваются профессиональной информацией, 56% обращаются за помощью к коллегам, 88% уверены, что остальные коллеги прикладывают столько же усилий для общего дела, 63% верят в справедливость оценки руководством работы учителя.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 коллективе не принято постоянное сотрудничество и отмечается крайне низкий уровень взаимодействия: 21% педагогического состава проводит совместные мероприятия; у 25% коллектива имеется общая копилка учебных материалов, проектов; 75% коллектива вообще не посещает уроки своих коллег; 19% состоят в добровольных профессиональных объединениях и являются активными их членами.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Низкий уровень взаимодействия подтверждается и социометрией: не все педагоги сделали два выбора (плотность сети составила 0,65).</w:t>
      </w:r>
    </w:p>
    <w:tbl>
      <w:tblPr>
        <w:tblStyle w:val="temp_table_style"/>
      </w:tblPr>
      <w:tblGrid>
        <w:gridCol w:w="645" w:type="dxa"/>
        <w:gridCol w:w="390" w:type="dxa"/>
        <w:gridCol w:w="390" w:type="dxa"/>
        <w:gridCol w:w="390" w:type="dxa"/>
        <w:gridCol w:w="390" w:type="dxa"/>
        <w:gridCol w:w="390" w:type="dxa"/>
        <w:gridCol w:w="390" w:type="dxa"/>
        <w:gridCol w:w="630" w:type="dxa"/>
      </w:tblGrid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1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2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3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4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5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6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и т.д.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1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2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+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3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+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4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+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5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6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+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  <w:tr>
        <w:tc>
          <w:tcPr>
            <w:tcW w:w="645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и т.д.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39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  <w:tc>
          <w:tcPr>
            <w:tcW w:w="63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 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На основе матрицы мы сделали социограмму (ориентированный граф). Ориентированный, потому что у связей между вершинами графа (педагогами) есть направленность. Стоит заметить, что вашему вниманию представлен граф положительных выборов (первый вопрос анкеты).</w:t>
      </w:r>
    </w:p>
    <w:p>
      <w:pPr>
        <w:jc w:val="center"/>
        <w:spacing w:after="500"/>
      </w:pPr>
    </w:p>
    <w:p>
      <w:pPr>
        <w:jc w:val="center"/>
      </w:pPr>
      <w:r>
        <w:pict>
          <v:shape type="#_x0000_t75" style="width:447px;height:500px">
            <v:imagedata r:id="rId8" o:title=""/>
          </v:shape>
        </w:pic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Что нам дает эта картинка?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Во-первых, множество выборов № 15. Это заместитель директора. Кажется, этот человек создан для этой должности.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Во-вторых, нам очень интересны обоюдные выборы, так как это показатель устойчивых связей, настоящего сотрудничества. Вершины, соединенные обоюдными выборами (сплошные линии), объединяются в фигуры. Мы видим диады и ни одной триады. Также хорошо заметна изоляция диад друг от друга. Большое количество диад — это лучше, чем ничего, но стоит двум людям поссориться, и группа распадается. Триада — более устойчивый союз. Поэтому чем больше триад и более сложных фигур, а также связей между фигурами, тем более сложную внутреннюю структуру имеет школа. А чем сложнее структура, тем у организации больше шансов для эволюции (развития).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общем, мы пришли к выводу о достаточно низком уровне социального капитала, что обусловливает недоступность внутренних ресурсов развития школы (рефлексия, взаимное обучение, доступ к знаниям и опыту коллег). Полученные результаты свидетельствуют о закрытости организации, о невозможности развития школы при существующих ценностях и базовых представлениях, при существующем отношении педагогов к процессу обучения.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Забегая вперед, представляем для размышления плод наших теоретических изысканий о возможных способах повышения социального капитала.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1. Создание коммуникативных каналов и процедур: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a)  обеспечение открытости информации,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б)  обеспечение возможности каждому выражать свои интересы,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в)  обеспечение устойчивых каналов обратной связи руководства и подчиненных,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г)  создание среды и особых процедур для общения.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2. Повышение открытости управления: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a)  обеспечение публичности курса реформ,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б)  демократический стиль управления,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в)  делегирование полномочий,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г)  обеспечение «кредита доверия» персоналу со стороны руководства.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3.  Обеспечение деловой и психологической безопасности: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a)  обеспечение устойчивости институтов и «правил игры», т. е. правила должны распространяться на всех,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б)  создание справедливой и непротиворечивой нормативной базы,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в)  добросовестность и честность руководства,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г)  поддержка добросовестности и честности педагогов,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д)  обеспечение неотвратимости вознаграждения, т. е. обеспечение прозрачности и однозначности НСОТ,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е)  оптимизация количества критериев стимулирующей надбавки с точки зрения психологии менеджмента,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ж) поощрение группового взаимодействия.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4.  Лидерство менеджеров: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a)  участие менеджеров в работе творческих групп,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б) честность и компетентность руководителя,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в) подбор управленческой команды на основе социометрии.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Представленный перечень не является алгоритмом, здесь нет определенной последовательности действий, данные положения могут реализовываться на практике различными способами. Главное: чтобы добиться успеха, необходимо реализовывать эти пункты сразу все вместе, что называется, бить по всем фронтам одновременно.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следующей статье мы расскажем об управленческих решениях, которые были приняты на основании сделанных нами выводов и в соответствии с представленными способами повышения социального капитала, а также о последствиях этих решений.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Использованная литература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1. Горин Д. Г. Социальный капитал в государственном и муниципальном управлении: сетевые технологии и инновационное развитие [http://www.rane-brf.ru/conference/2012/gorin.pdf].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2. Градосельская Г. В. Сетевые измерения в социологии: учеб. пособие. — М.: Издательский дом «Новый учебник», 2004.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3. Инструменты оценки управления ОУ. — М.: Методическое пособие к программе «Управление образованием» НИУ ВШЭ, 2012.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4. Миниа В. Н., Небогина О. А. Доверие как актив организации: методологические аспекты измерения. — СПб.: Высшая школа менеджмента СПбГУ, 2005.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5. Рукавишникова В. О. Межличностное доверие: измерение и межстрановые сравнения // Социологические исследования. — 2008. — № 2.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6. Сысоев С. А. К проблеме измерения социального капитала — Минск: дис. … канд. экономич. наук, 2009.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7. Ушаков К. М. Основы сетевого анализа // Директор школы, № 5, 6. 2013.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8. Дворянов А. А. Типология доверия [http://dvoryanov.de/doc/Dvoryanov_Tipologiya_doveriya.pdf].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9. Меняшев Р. Ш., Полищук Л.И. Экономическая отдача от социального капитала: о чем говорят российские данные? // XI Международная научная конференция по проблемам развития экономики и общества. — М.: ИД ГУ ВШЭ, 2011.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10. Ушаков К. М. Управление школой: кризис в период реформ. — М.: Сентябрь, 2011.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11. Фуллан М. Выбор ложных движущих сил для реформы целостной системы // Вопросы образования. — 2011.— № 4, С. 79–105.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13. Фукуяма Ф. Доверие. Социальные добродетели и путь к процветанию — М.: АСТ, 2004.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ОТЗЫВЫ ЭКСПЕРТОВ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«Внутренние ресурсы у сельской школы всегда есть. Просто одни руководители знают это и ничего не предпринимают, другие — не видят их, но стараются двигаться вперед с многочисленными ошибками. Уметь разглядеть лидера в человеке, который зарекомендовал себя уже в одной роли, — непростое дело. Планировать нужно не только содержательную часть каждого педагогического мероприятия, но и строить психологию общения. Не каждый руководитель на это способен и тем более с прицелом на перспективу».</w:t>
            </w:r>
          </w:p>
        </w:tc>
      </w:tr>
    </w:tbl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«На мой взгляд, повышение социального капитала — это условие развития любой организации, а не только сельской школы. Очень правильные вопросы ставит автор статьи, поскольку учителя с точки зрения командообразования — это контингент особый. С одной стороны, педагог большую часть времени проводит не в команде. На уроке он — лидер и организатор. С другой стороны, в нужные моменты надо уметь объединиться и поработать на общее дело. Оказывается, что это очень непросто для учителя. Здесь нужны особые технологии работы с персоналом».</w:t>
            </w:r>
          </w:p>
        </w:tc>
      </w:tr>
    </w:tbl>
    <w:p/>
    <w:p/>
    <w:p/>
    <w:p/>
    <w:p/>
    <w:p>
      <w:pPr>
        <w:jc w:val="left"/>
      </w:pPr>
      <w:r>
        <w:pict>
          <v:shape type="#_x0000_t75" style="width:185px;height:24px">
            <v:imagedata r:id="rId9" o:title=""/>
          </v:shape>
        </w:pict>
      </w:r>
    </w:p>
    <w:p>
      <w:hyperlink r:id="rId10" w:history="1">
        <w:r>
          <w:rPr>
            <w:rFonts w:ascii="Georgia" w:hAnsi="Georgia" w:cs="Georgia"/>
            <w:color w:val="0000FF"/>
            <w:sz w:val="24"/>
            <w:szCs w:val="24"/>
            <w:i/>
            <w:iCs/>
            <w:u w:val="single"/>
          </w:rPr>
          <w:t xml:space="preserve">http://www.direktoria.org</w:t>
        </w:r>
      </w:hyperlink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Информационная система «Директория», 2014</w:t>
      </w:r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Директор школы №6 (189), 2014</w:t>
      </w:r>
    </w:p>
    <w:sectPr>
      <w:footerReference w:type="default" r:id="rId11"/>
      <w:pgSz w:w="11906" w:h="16838"/>
      <w:pgMar w:top="800" w:right="800" w:bottom="80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Georgia" w:hAnsi="Georgia" w:cs="Georgia"/>
        <w:b/>
      </w:rPr>
      <w:t xml:space="preserve">~ </w:t>
    </w:r>
    <w:r>
      <w:fldChar w:fldCharType="begin"/>
    </w:r>
    <w:r>
      <w:rPr>
        <w:rFonts w:ascii="Georgia" w:hAnsi="Georgia" w:cs="Georgia"/>
        <w:b/>
      </w:rPr>
      <w:instrText xml:space="preserve">PAGE</w:instrText>
    </w:r>
    <w:r>
      <w:fldChar w:fldCharType="separate"/>
    </w:r>
    <w:r>
      <w:fldChar w:fldCharType="end"/>
    </w:r>
    <w:r>
      <w:rPr>
        <w:rFonts w:ascii="Georgia" w:hAnsi="Georgia" w:cs="Georgia"/>
        <w:b/>
      </w:rPr>
      <w:t xml:space="preserve"> ~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CellMar>
        <w:top w:w="300" w:type="dxa"/>
        <w:left w:w="200" w:type="dxa"/>
        <w:right w:w="200" w:type="dxa"/>
        <w:bottom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image" Target="media/section_image3.png"/>
  <Relationship Id="rId10" Type="http://schemas.openxmlformats.org/officeDocument/2006/relationships/hyperlink" Target="http://www.direktoria.org" TargetMode="External"/>
  <Relationship Id="rId11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2014-07-08T12:28:32+04:00</dcterms:created>
  <dcterms:modified xsi:type="dcterms:W3CDTF">2014-07-08T12:28:32+04:00</dcterms:modified>
  <dc:title/>
  <dc:description/>
  <dc:subject/>
  <cp:keywords/>
  <cp:category/>
</cp:coreProperties>
</file>