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</w:pPr>
      <w:r>
        <w:pict>
          <v:shape type="#_x0000_t75" style="width:185px;height:24px">
            <v:imagedata r:id="rId7" o:title=""/>
          </v:shape>
        </w:pict>
      </w:r>
    </w:p>
    <w:p>
      <w:pPr>
        <w:jc w:val="left"/>
        <w:spacing w:after="500"/>
      </w:pPr>
      <w:r>
        <w:rPr>
          <w:rFonts w:ascii="Georgia" w:hAnsi="Georgia" w:cs="Georgia"/>
          <w:sz w:val="64"/>
          <w:szCs w:val="64"/>
          <w:i/>
          <w:iCs/>
        </w:rPr>
        <w:t xml:space="preserve">Приветственное слово министра образования и науки Калужской области</w:t>
      </w:r>
    </w:p>
    <w:tbl>
      <w:tblPr>
        <w:tblStyle w:val="temp_table_style"/>
      </w:tblPr>
      <w:tblGrid>
        <w:gridCol w:w="10056" w:type="dxa"/>
      </w:tblGrid>
      <w:tr>
        <w:tc>
          <w:tcPr>
            <w:tcW w:w="15000" w:type="dxa"/>
            <w:vAlign w:val="both"/>
            <w:tcBorders>
              <w:top w:val="single" w:sz="7" w:color="000000"/>
              <w:left w:val="single" w:sz="7" w:color="ffffff"/>
              <w:right w:val="single" w:sz="7" w:color="ffffff"/>
              <w:bottom w:val="single" w:sz="7" w:color="000000"/>
            </w:tcBorders>
          </w:tcPr>
          <w:p>
            <w:pPr>
              <w:jc w:val="left"/>
              <w:spacing w:after="80" w:line="242" w:lineRule="auto"/>
            </w:pPr>
            <w:r>
              <w:rPr>
                <w:rFonts w:ascii="Georgia" w:hAnsi="Georgia" w:cs="Georgia"/>
                <w:b/>
                <w:i/>
                <w:iCs/>
              </w:rPr>
              <w:t xml:space="preserve">Аникеев Александр Сергеевич</w:t>
            </w:r>
          </w:p>
          <w:p>
            <w:r>
              <w:rPr>
                <w:rFonts w:ascii="Georgia" w:hAnsi="Georgia" w:cs="Georgia"/>
                <w:i/>
                <w:iCs/>
              </w:rPr>
              <w:t xml:space="preserve">Министр образования и науки Калужской области </w:t>
            </w:r>
          </w:p>
        </w:tc>
      </w:tr>
    </w:tbl>
    <w:p/>
    <w:p>
      <w:pPr>
        <w:jc w:val="both"/>
        <w:spacing w:after="400"/>
      </w:pPr>
      <w:r>
        <w:rPr>
          <w:rFonts w:ascii="Georgia" w:hAnsi="Georgia" w:cs="Georgia"/>
          <w:sz w:val="24"/>
          <w:szCs w:val="24"/>
          <w:b/>
        </w:rPr>
        <w:t xml:space="preserve">В приветственном слове, обращенном к читателям журнала, министр образования и науки Калужской области Аникеев А.С. кратко описывает достижения региона в области дошкольного, общего и профессионального образования.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  <w:b/>
        </w:rPr>
        <w:t xml:space="preserve">Уважаемые читатели журнала!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У вас в руках номер, посвященный опыту деятельности системы образования Калужской области, которая, как и весь наш регион, динамично развивается.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С 2018 года в области сданы в эксплуатацию 11 новых зданий школ с уникальным дизайном, интерактивными локациями и широким спектром возможностей для личностного развития ученика. Мы одними из первых в России достигли 100-процентной доступности дошкольного образования, ликвидировав очереди в детские сады. За последние пять лет мы построили 30 современных детских садов, которые создали новое образовательное пространство в системе дошкольного образования.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Отдельный предмет нашей гордости — система среднего профессионального образования. С 1 сентября 2024 года Калужский техникум электронных приборов одним из первых в стране начал подготовку специалистов по работе с беспилотными авиационными системами. В настоящее время в Калужской области более 60% выпускников 9-х классов выбирают учебу в колледже или техникуме. На многие направления подготовки в колледжах возникает конкурс, что свидетельствует о высоком качестве обучения в них и реальных перспективах трудоустройства по полученным специальностям в своем регионе.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В нашей области активно развивается дополнительное образование, в содержании которого мы стараемся гармонично сочетать художественно-эстетическую и научно-техническую направленности. В Калуге, Обнинске, Кондрово и Малоярославце открыты специальные детские технопарки и центры цифрового образования.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В образовательных организациях области работает более 14 тысяч педагогов. О высоком качестве их работы свидетельствуют успехи в различных всероссийских конкурсах. Наивысших успехов в профессиональных конкурсах федерального уровня добились директора наших школ. В 2021 году в финал Всероссийского профессионального конкурса «Директор года России» вышли два калужских директора — Антон Ковалев и Оксана Милованова, которая стала его призером. А через два года директор калужской школы № 25 Алексей Мокрушин стал победителем этого конкурса. Их успех во многом открыл для России высокое качество административных практик в школьном образовании Калужской области.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Основа успешной работы наших педагогов — это непрерывный профессиональный рост, который базируется на методическом осмыслении своего опыта и опыта коллег. Описание лучших примеров такого опыта составляет содержание этого номера журнала. Сегодня периодическая печать переживает непростой период, поэтому хотел бы выразить признательность команде журнала «Практика административной работы в школе» за сложную и кропотливую работу по выпуску номера, посвященного системе образования Калужской области.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С уважением, </w:t>
      </w:r>
      <w:r>
        <w:rPr>
          <w:rFonts w:ascii="Georgia" w:hAnsi="Georgia" w:cs="Georgia"/>
          <w:sz w:val="24"/>
          <w:szCs w:val="24"/>
          <w:b/>
        </w:rPr>
        <w:t xml:space="preserve">Александр Сергеевич Аникеев</w:t>
      </w:r>
    </w:p>
    <w:p/>
    <w:p/>
    <w:p/>
    <w:p/>
    <w:p/>
    <w:p>
      <w:pPr>
        <w:jc w:val="left"/>
      </w:pPr>
      <w:r>
        <w:pict>
          <v:shape type="#_x0000_t75" style="width:185px;height:24px">
            <v:imagedata r:id="rId8" o:title=""/>
          </v:shape>
        </w:pict>
      </w:r>
    </w:p>
    <w:p>
      <w:hyperlink r:id="rId9" w:history="1">
        <w:r>
          <w:rPr>
            <w:rFonts w:ascii="Georgia" w:hAnsi="Georgia" w:cs="Georgia"/>
            <w:color w:val="0000FF"/>
            <w:sz w:val="24"/>
            <w:szCs w:val="24"/>
            <w:i/>
            <w:iCs/>
            <w:u w:val="single"/>
          </w:rPr>
          <w:t xml:space="preserve">http://www.direktoria.org</w:t>
        </w:r>
      </w:hyperlink>
    </w:p>
    <w:p>
      <w:pPr>
        <w:jc w:val="left"/>
        <w:spacing w:after="10"/>
      </w:pPr>
      <w:r>
        <w:rPr>
          <w:rFonts w:ascii="Georgia" w:hAnsi="Georgia" w:cs="Georgia"/>
          <w:sz w:val="22"/>
          <w:szCs w:val="22"/>
          <w:i/>
          <w:iCs/>
        </w:rPr>
        <w:t xml:space="preserve">© Информационная система «Директория», 2024</w:t>
      </w:r>
    </w:p>
    <w:p>
      <w:pPr>
        <w:jc w:val="left"/>
        <w:spacing w:after="10"/>
      </w:pPr>
      <w:r>
        <w:rPr>
          <w:rFonts w:ascii="Georgia" w:hAnsi="Georgia" w:cs="Georgia"/>
          <w:sz w:val="22"/>
          <w:szCs w:val="22"/>
          <w:i/>
          <w:iCs/>
        </w:rPr>
        <w:t xml:space="preserve">© Практика административной работы в школе №6 (181), 2024</w:t>
      </w:r>
    </w:p>
    <w:sectPr>
      <w:footerReference w:type="default" r:id="rId10"/>
      <w:pgSz w:w="11906" w:h="16838"/>
      <w:pgMar w:top="800" w:right="800" w:bottom="800" w:left="10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Georgia" w:hAnsi="Georgia" w:cs="Georgia"/>
        <w:b/>
      </w:rPr>
      <w:t xml:space="preserve">~ </w:t>
    </w:r>
    <w:r>
      <w:fldChar w:fldCharType="begin"/>
    </w:r>
    <w:r>
      <w:rPr>
        <w:rFonts w:ascii="Georgia" w:hAnsi="Georgia" w:cs="Georgia"/>
        <w:b/>
      </w:rPr>
      <w:instrText xml:space="preserve">PAGE</w:instrText>
    </w:r>
    <w:r>
      <w:fldChar w:fldCharType="separate"/>
    </w:r>
    <w:r>
      <w:fldChar w:fldCharType="end"/>
    </w:r>
    <w:r>
      <w:rPr>
        <w:rFonts w:ascii="Georgia" w:hAnsi="Georgia" w:cs="Georgia"/>
        <w:b/>
      </w:rPr>
      <w:t xml:space="preserve"> ~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CellMar>
        <w:top w:w="300" w:type="dxa"/>
        <w:left w:w="200" w:type="dxa"/>
        <w:right w:w="200" w:type="dxa"/>
        <w:bottom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image" Target="media/section_image2.png"/>
  <Relationship Id="rId9" Type="http://schemas.openxmlformats.org/officeDocument/2006/relationships/hyperlink" Target="http://www.direktoria.org" TargetMode="External"/>
  <Relationship Id="rId10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2024-08-22T12:04:42+03:00</dcterms:created>
  <dcterms:modified xsi:type="dcterms:W3CDTF">2024-08-22T12:04:42+03:00</dcterms:modified>
  <dc:title/>
  <dc:description/>
  <dc:subject/>
  <cp:keywords/>
  <cp:category/>
</cp:coreProperties>
</file>